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дело№ 2-</w:t>
      </w:r>
      <w:r>
        <w:rPr>
          <w:rFonts w:ascii="Times New Roman" w:eastAsia="Times New Roman" w:hAnsi="Times New Roman" w:cs="Times New Roman"/>
          <w:sz w:val="26"/>
          <w:szCs w:val="26"/>
        </w:rPr>
        <w:t>1591-2003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keepNext/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 А О Ч Н О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 Е Ш Е Н И Е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Роговой Н.Ю., 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Симоновой Светлане Леонидовне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кредитному договору, судебных расходов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194-199, 235 ГПК РФ, 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исковых требованиях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 к Симоновой Светлане Леонидовне о взыскании задолженности по кредитному договору,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отказать, в связи с истечением срока давности.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решения суда, если лица, участвующие в деле, их представители не присутствовали в судебном заседании.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>
      <w:pPr>
        <w:keepNext/>
        <w:spacing w:before="0" w:after="0"/>
        <w:ind w:firstLine="426"/>
        <w:rPr>
          <w:sz w:val="26"/>
          <w:szCs w:val="26"/>
        </w:rPr>
      </w:pPr>
    </w:p>
    <w:p>
      <w:pPr>
        <w:spacing w:before="0" w:after="0" w:line="252" w:lineRule="auto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426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8rplc-10">
    <w:name w:val="cat-UserDefined grp-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